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019" w:rsidRPr="000B09B6" w:rsidRDefault="000B09B6" w:rsidP="000B09B6">
      <w:pPr>
        <w:rPr>
          <w:b/>
          <w:color w:val="5B9BD5"/>
        </w:rPr>
      </w:pPr>
      <w:r w:rsidRPr="0035588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174.75pt;height:70.5pt;visibility:visible;mso-wrap-style:square">
            <v:imagedata r:id="rId7" o:title=""/>
          </v:shape>
        </w:pict>
      </w:r>
      <w:r w:rsidR="00EA59BD" w:rsidRPr="000B09B6">
        <w:rPr>
          <w:b/>
          <w:color w:val="5B9BD5"/>
        </w:rPr>
        <w:t xml:space="preserve">                                                                                      УСЛУГИ  РОСРЕЕСТРА </w:t>
      </w:r>
    </w:p>
    <w:p w:rsidR="00AA7019" w:rsidRPr="000B09B6" w:rsidRDefault="00EA59BD" w:rsidP="000B09B6">
      <w:pPr>
        <w:pStyle w:val="Standard"/>
        <w:jc w:val="center"/>
        <w:rPr>
          <w:rFonts w:ascii="Times New Roman" w:hAnsi="Times New Roman" w:cs="Times New Roman"/>
          <w:b/>
          <w:szCs w:val="24"/>
        </w:rPr>
      </w:pPr>
      <w:r w:rsidRPr="000B09B6">
        <w:rPr>
          <w:rFonts w:ascii="Times New Roman" w:hAnsi="Times New Roman" w:cs="Times New Roman"/>
          <w:b/>
          <w:szCs w:val="24"/>
        </w:rPr>
        <w:t xml:space="preserve">Итоги электронной регистрации прав за </w:t>
      </w:r>
      <w:r w:rsidRPr="000B09B6">
        <w:rPr>
          <w:rFonts w:ascii="Times New Roman" w:hAnsi="Times New Roman" w:cs="Times New Roman"/>
          <w:b/>
          <w:szCs w:val="24"/>
          <w:lang w:val="en-US"/>
        </w:rPr>
        <w:t>I</w:t>
      </w:r>
      <w:r w:rsidRPr="000B09B6">
        <w:rPr>
          <w:rFonts w:ascii="Times New Roman" w:hAnsi="Times New Roman" w:cs="Times New Roman"/>
          <w:b/>
          <w:szCs w:val="24"/>
        </w:rPr>
        <w:t xml:space="preserve"> полугодие 2025 года</w:t>
      </w:r>
    </w:p>
    <w:p w:rsidR="00AA7019" w:rsidRPr="000B09B6" w:rsidRDefault="00EA59BD" w:rsidP="000B09B6">
      <w:pPr>
        <w:pStyle w:val="Standard"/>
        <w:jc w:val="both"/>
        <w:rPr>
          <w:rFonts w:ascii="Times New Roman" w:hAnsi="Times New Roman" w:cs="Times New Roman"/>
          <w:szCs w:val="24"/>
        </w:rPr>
      </w:pPr>
      <w:r w:rsidRPr="000B09B6">
        <w:rPr>
          <w:rFonts w:ascii="Times New Roman" w:hAnsi="Times New Roman" w:cs="Times New Roman"/>
          <w:szCs w:val="24"/>
        </w:rPr>
        <w:t xml:space="preserve">          По итогам первого полугодия текущего года </w:t>
      </w:r>
      <w:r w:rsidRPr="000B09B6">
        <w:rPr>
          <w:rFonts w:ascii="Times New Roman" w:hAnsi="Times New Roman" w:cs="Times New Roman"/>
          <w:szCs w:val="24"/>
        </w:rPr>
        <w:t xml:space="preserve">свыше 55 тыс. заявлений                                       о государственной регистрации прав, то есть 62,5 %, представлено                             в электронном виде. </w:t>
      </w:r>
    </w:p>
    <w:p w:rsidR="00AA7019" w:rsidRPr="000B09B6" w:rsidRDefault="00EA59BD" w:rsidP="000B09B6">
      <w:pPr>
        <w:widowControl w:val="0"/>
        <w:tabs>
          <w:tab w:val="left" w:pos="709"/>
        </w:tabs>
        <w:jc w:val="both"/>
        <w:rPr>
          <w:rFonts w:eastAsia="Segoe UI"/>
          <w:color w:val="000000"/>
          <w:lang w:eastAsia="zh-CN" w:bidi="hi-IN"/>
        </w:rPr>
      </w:pPr>
      <w:r w:rsidRPr="000B09B6">
        <w:rPr>
          <w:rFonts w:eastAsia="Segoe UI"/>
          <w:color w:val="000000"/>
          <w:lang w:eastAsia="zh-CN" w:bidi="hi-IN"/>
        </w:rPr>
        <w:t xml:space="preserve">          Лидирующие позиции занимают электронные заявления о регистрации ипотек</w:t>
      </w:r>
      <w:r w:rsidRPr="000B09B6">
        <w:rPr>
          <w:rFonts w:eastAsia="Segoe UI"/>
          <w:color w:val="000000"/>
          <w:lang w:eastAsia="zh-CN" w:bidi="hi-IN"/>
        </w:rPr>
        <w:t>и – 89,44 % и регистрации договоров участия в долевом строительстве – 95,36 %. При этом в июне 2025 года доля электронной регистрации договоров участия в долевом строительстве составила 99,91%, что на 11,9% больше аналогичного показателя прошлого года.</w:t>
      </w:r>
    </w:p>
    <w:p w:rsidR="00AA7019" w:rsidRPr="000B09B6" w:rsidRDefault="00EA59BD" w:rsidP="000B09B6">
      <w:pPr>
        <w:widowControl w:val="0"/>
        <w:jc w:val="both"/>
        <w:rPr>
          <w:rFonts w:eastAsia="Segoe UI"/>
          <w:color w:val="000000"/>
          <w:lang w:eastAsia="zh-CN" w:bidi="hi-IN"/>
        </w:rPr>
      </w:pPr>
      <w:r w:rsidRPr="000B09B6">
        <w:rPr>
          <w:rFonts w:eastAsia="Segoe UI"/>
          <w:color w:val="000000"/>
          <w:lang w:eastAsia="zh-CN" w:bidi="hi-IN"/>
        </w:rPr>
        <w:t xml:space="preserve">   </w:t>
      </w:r>
      <w:r w:rsidRPr="000B09B6">
        <w:rPr>
          <w:rFonts w:eastAsia="Segoe UI"/>
          <w:color w:val="000000"/>
          <w:lang w:eastAsia="zh-CN" w:bidi="hi-IN"/>
        </w:rPr>
        <w:t xml:space="preserve">       Свыше 96 % электронных ипотек и 92,7 % прав на «бытовую» недвижимость зарегистрировано в течение одного рабочего дня.</w:t>
      </w:r>
    </w:p>
    <w:p w:rsidR="00AA7019" w:rsidRPr="000B09B6" w:rsidRDefault="00EA59BD" w:rsidP="000B09B6">
      <w:pPr>
        <w:widowControl w:val="0"/>
        <w:tabs>
          <w:tab w:val="left" w:pos="709"/>
        </w:tabs>
        <w:jc w:val="both"/>
        <w:rPr>
          <w:rFonts w:eastAsia="Segoe UI"/>
          <w:color w:val="000000"/>
          <w:lang w:eastAsia="zh-CN" w:bidi="hi-IN"/>
        </w:rPr>
      </w:pPr>
      <w:r w:rsidRPr="000B09B6">
        <w:rPr>
          <w:rFonts w:eastAsia="Segoe UI"/>
          <w:color w:val="000000"/>
          <w:lang w:eastAsia="zh-CN" w:bidi="hi-IN"/>
        </w:rPr>
        <w:t xml:space="preserve">          С начала года 87 % заявлений юридических лиц о государственной регистрации прав на недвижимость направлены в электронном </w:t>
      </w:r>
      <w:r w:rsidRPr="000B09B6">
        <w:rPr>
          <w:rFonts w:eastAsia="Segoe UI"/>
          <w:color w:val="000000"/>
          <w:lang w:eastAsia="zh-CN" w:bidi="hi-IN"/>
        </w:rPr>
        <w:t>виде.</w:t>
      </w:r>
    </w:p>
    <w:p w:rsidR="00AA7019" w:rsidRPr="000B09B6" w:rsidRDefault="00EA59BD" w:rsidP="000B09B6">
      <w:pPr>
        <w:widowControl w:val="0"/>
        <w:tabs>
          <w:tab w:val="left" w:pos="709"/>
        </w:tabs>
        <w:jc w:val="both"/>
        <w:rPr>
          <w:rFonts w:eastAsia="Segoe UI"/>
          <w:color w:val="000000"/>
          <w:lang w:eastAsia="zh-CN" w:bidi="hi-IN"/>
        </w:rPr>
      </w:pPr>
      <w:r w:rsidRPr="000B09B6">
        <w:rPr>
          <w:rFonts w:eastAsia="Segoe UI"/>
          <w:color w:val="000000"/>
          <w:lang w:eastAsia="zh-CN" w:bidi="hi-IN"/>
        </w:rPr>
        <w:t xml:space="preserve">          Подать документы в электронном виде можно на официальном сайте Росреестра, на портале «Госуслуги», предварительно получив электронную подпись, либо с помощью кредитной или иной организации, оказывающей услуги по оформлению и направлению эле</w:t>
      </w:r>
      <w:r w:rsidRPr="000B09B6">
        <w:rPr>
          <w:rFonts w:eastAsia="Segoe UI"/>
          <w:color w:val="000000"/>
          <w:lang w:eastAsia="zh-CN" w:bidi="hi-IN"/>
        </w:rPr>
        <w:t>ктронных документов в Росреестр.</w:t>
      </w:r>
    </w:p>
    <w:p w:rsidR="00AA7019" w:rsidRPr="000B09B6" w:rsidRDefault="00EA59BD" w:rsidP="000B09B6">
      <w:pPr>
        <w:widowControl w:val="0"/>
        <w:tabs>
          <w:tab w:val="left" w:pos="709"/>
        </w:tabs>
        <w:jc w:val="both"/>
        <w:rPr>
          <w:color w:val="000000"/>
        </w:rPr>
      </w:pPr>
      <w:r w:rsidRPr="000B09B6">
        <w:rPr>
          <w:rFonts w:eastAsia="Segoe UI"/>
          <w:color w:val="000000"/>
          <w:lang w:eastAsia="zh-CN" w:bidi="hi-IN"/>
        </w:rPr>
        <w:t xml:space="preserve">          Граждане и кадастровые инженеры</w:t>
      </w:r>
      <w:r w:rsidRPr="000B09B6">
        <w:rPr>
          <w:color w:val="292C2F"/>
        </w:rPr>
        <w:t xml:space="preserve"> </w:t>
      </w:r>
      <w:r w:rsidRPr="000B09B6">
        <w:rPr>
          <w:color w:val="000000"/>
        </w:rPr>
        <w:t>могут направить заявления                         о внесении в ЕГРН сведений об изменении почтового адреса и электронной почты, по которым осуществляется связь с заявителем, о невоз</w:t>
      </w:r>
      <w:r w:rsidRPr="000B09B6">
        <w:rPr>
          <w:color w:val="000000"/>
        </w:rPr>
        <w:t>можности осуществления регистрационных действий без личного участия, а также об исправлении технических ошибок в сведениях ЕГРН через мобильное приложение «Росреестр».</w:t>
      </w:r>
    </w:p>
    <w:p w:rsidR="000B09B6" w:rsidRPr="000B09B6" w:rsidRDefault="000B09B6" w:rsidP="000B09B6">
      <w:pPr>
        <w:jc w:val="center"/>
        <w:rPr>
          <w:b/>
          <w:bCs/>
        </w:rPr>
      </w:pPr>
      <w:r w:rsidRPr="000B09B6">
        <w:rPr>
          <w:b/>
        </w:rPr>
        <w:t>О порядке получения кадастровыми инженерами сведений ЕГРН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В преддверии Дня кадастрового инженера расскажем о порядке получения кадастровыми инженерами сведений Единого государственного реестра недвижимости (ЕГРН).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hyperlink r:id="rId8" w:tooltip="https://www.consultant.ru/document/cons_doc_LAW_182661/e064cc95b1bdffa4d12abb92fdfc56dea94198df/" w:history="1">
        <w:r w:rsidRPr="000B09B6">
          <w:rPr>
            <w:rStyle w:val="af1"/>
          </w:rPr>
          <w:t>Порядок</w:t>
        </w:r>
      </w:hyperlink>
      <w:r w:rsidRPr="000B09B6">
        <w:t xml:space="preserve"> предоставления сведений ЕГРН предполагает получение кадастровыми инженерами сведений ограниченного доступа, в том числе позволяющих идентифицировать правообладателей и относящихся к их персональным данным, с целью проведения кадастровых работ.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По запросу кадастрового инженера, выполняющего </w:t>
      </w:r>
      <w:r w:rsidRPr="000B09B6">
        <w:rPr>
          <w:i/>
          <w:iCs/>
        </w:rPr>
        <w:t xml:space="preserve">кадастровые работы </w:t>
      </w:r>
      <w:r w:rsidRPr="000B09B6">
        <w:t xml:space="preserve">в отношении земельных участков, сведения предоставляются в виде </w:t>
      </w:r>
      <w:r w:rsidRPr="000B09B6">
        <w:rPr>
          <w:i/>
          <w:iCs/>
        </w:rPr>
        <w:t>выписки об объекте недвижимости</w:t>
      </w:r>
      <w:r w:rsidRPr="000B09B6">
        <w:t xml:space="preserve">. При запросе следует приложить копию документа-основания выполнения таких работ. 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В разделе «Основание запроса сведений об адресах правообладателей объектов недвижимости» нужно отметить «выполнение кадастровых работ в отношении земельных участков с кадастровыми номерами…», далее перечисляются объекты с указанием реквизитов договора.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Чтобы получить данные в отношении собственников соседних участков, в вышеупомянутом разделе следует указать «кадастровые номера земельных участков, смежных по отношению к земельному участку – объекту кадастровых работ, сведения об адресах правообладателей которых необходимы для выполнения кадастровых работ», далее перечислить объекты.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При проведении </w:t>
      </w:r>
      <w:r w:rsidRPr="000B09B6">
        <w:rPr>
          <w:i/>
          <w:iCs/>
        </w:rPr>
        <w:t>комплексных кадастровых работ</w:t>
      </w:r>
      <w:r w:rsidRPr="000B09B6">
        <w:t xml:space="preserve"> (ККР) специалисту нужно получить </w:t>
      </w:r>
      <w:r w:rsidRPr="000B09B6">
        <w:rPr>
          <w:i/>
          <w:iCs/>
        </w:rPr>
        <w:t>кадастровый план территории</w:t>
      </w:r>
      <w:r w:rsidRPr="000B09B6">
        <w:t>, приложив к запросу копию государственного или муниципального контракта на выполнение работ или информацию о размещении сведений о контракте на официальном сайте в реестре контрактов, заключенных заказчиками, единой информационной системы в сфере закупок.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lastRenderedPageBreak/>
        <w:t>В разделе «Основание запроса сведений об адресах правообладателей объектов недвижимости» нужно отметить «выполнение комплексных кадастровых работ в отношении объектов недвижимости, расположенных в границах кадастровых кварталов…» с указанием реквизитов контракта или договора.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Для получения сведений ЕГРН, необходимых для выполнения кадастровых работ и ККР, кадастровым инженерам важно корректно оформить </w:t>
      </w:r>
      <w:hyperlink r:id="rId9" w:tooltip="https://www.consultant.ru/document/cons_doc_LAW_383887/" w:history="1">
        <w:r w:rsidRPr="000B09B6">
          <w:rPr>
            <w:rStyle w:val="af1"/>
          </w:rPr>
          <w:t>запрос</w:t>
        </w:r>
      </w:hyperlink>
      <w:r w:rsidRPr="000B09B6">
        <w:t>. Обращаем внимание на необходимость указания следующих сведений в разделе «Примечание»: наименование саморегулируемой организации (СРО), в которой состоит заявитель – кадастровый инженер; уникальный регистрационный номер специалиста в реестре членов СРО; дата внесения сведений о физическом лице в реестр и т.д.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Также кадастровым инженерам следует прикладывать справку с места работы, если они являются работниками юридического лица, или копию документа о факте внесения сведений об индивидуальном предпринимателе в единый государственный реестр индивидуальных предпринимателей.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Задать вопросы о порядке предоставления сведений ЕГРН можно специалистам регионального Роскадастра по телефону: 8 (383) 349-95-69, доб.1.</w:t>
      </w:r>
    </w:p>
    <w:p w:rsidR="000B09B6" w:rsidRPr="000B09B6" w:rsidRDefault="000B09B6" w:rsidP="000B09B6">
      <w:pPr>
        <w:tabs>
          <w:tab w:val="left" w:pos="1105"/>
        </w:tabs>
        <w:ind w:firstLine="1106"/>
        <w:jc w:val="center"/>
        <w:rPr>
          <w:b/>
          <w:bCs/>
          <w:highlight w:val="white"/>
        </w:rPr>
      </w:pPr>
      <w:bookmarkStart w:id="0" w:name="_Hlk203989190"/>
      <w:r w:rsidRPr="000B09B6">
        <w:rPr>
          <w:b/>
          <w:bCs/>
        </w:rPr>
        <w:t>В</w:t>
      </w:r>
      <w:r w:rsidRPr="000B09B6">
        <w:rPr>
          <w:b/>
          <w:bCs/>
          <w:highlight w:val="white"/>
        </w:rPr>
        <w:t xml:space="preserve"> каких случаях нужно обратиться к кадастровому инженеру</w:t>
      </w:r>
      <w:bookmarkEnd w:id="0"/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Кадастровые инженеры проводят работы по определению местоположения границ земельных участков и характеристик объектов капитального строительства, а также оформляют документы для внесения сведений об объектах недвижимости в Единый государственный реестр недвижимости (ЕГРН).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Для постановки земельного участка на кадастровый учет, а также при уточнении местоположения границ участка специалист оформляет </w:t>
      </w:r>
      <w:r w:rsidRPr="000B09B6">
        <w:rPr>
          <w:b/>
          <w:bCs/>
        </w:rPr>
        <w:t>межевой план</w:t>
      </w:r>
      <w:r w:rsidRPr="000B09B6">
        <w:t xml:space="preserve">. Наличие в ЕГРН сведений о границах является обязательным условием при совершении сделок с землей и оформлении прав на здания, сооружения или объекты незавершенного строительства, расположенные на участке. 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Для постановки на кадастровый учет объекта капитального строительства специалист готовит </w:t>
      </w:r>
      <w:r w:rsidRPr="000B09B6">
        <w:rPr>
          <w:b/>
          <w:bCs/>
        </w:rPr>
        <w:t>технический план</w:t>
      </w:r>
      <w:r w:rsidRPr="000B09B6">
        <w:t>. Документ может понадобиться при оформлении перепланировки, регистрации права собственности и других операциях с недвижимостью.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В случаях, если объект снесен или уничтожен, например, при пожаре, для снятия его с учета кадастровый инженер подготавливает </w:t>
      </w:r>
      <w:r w:rsidRPr="000B09B6">
        <w:rPr>
          <w:b/>
          <w:bCs/>
        </w:rPr>
        <w:t>акт обследования</w:t>
      </w:r>
      <w:r w:rsidRPr="000B09B6">
        <w:t>. Документ составляется в результате осмотра места нахождения объекта с целью подтвердить прекращение его существования.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>Кроме подготовки документов, которые являются основаниями внесения сведений в ЕГРН, кадастровые инженеры помогают исправить реестровые ошибки, решить земельный спор с соседями, провести топографическую съемку или геодезические работы.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Прежде чем заключить со специалистом договор, стоит проверить сведения о нем с помощью электронного </w:t>
      </w:r>
      <w:hyperlink r:id="rId10" w:anchor="Z7_01HA1A42KO5ID0Q456NNJM30G4" w:tooltip="https://rosreestr.gov.ru/wps/portal/p/cc_ib_portal_services/cc_ib_sro_reestrs/!ut/p/z1/04_Sj9CPykssy0xPLMnMz0vMAfIjo8ziDQw9HA0dTYy8_U09XQwCTUzN_Py8fI0NDAz0w8EK3ANNXA2dTQy93QMNzQ0cPR29DY0N3Q0M_A31o4jRj0cBWD8O4AjSHwVWgssFzkYEFICcSMiSgtzQCINMT0UAZsE4jA!!/p0/IZ7_0" w:history="1">
        <w:r w:rsidRPr="000B09B6">
          <w:rPr>
            <w:rStyle w:val="af1"/>
          </w:rPr>
          <w:t>сервиса</w:t>
        </w:r>
      </w:hyperlink>
      <w:r w:rsidRPr="000B09B6">
        <w:t xml:space="preserve"> на сайте Росреестра или на одном из официальных сайтов саморегулируемых организаций, в которой состоит кадастровый инженер. </w:t>
      </w:r>
    </w:p>
    <w:p w:rsidR="000B09B6" w:rsidRPr="000B09B6" w:rsidRDefault="000B09B6" w:rsidP="000B09B6">
      <w:pPr>
        <w:tabs>
          <w:tab w:val="left" w:pos="1105"/>
        </w:tabs>
        <w:jc w:val="center"/>
        <w:rPr>
          <w:b/>
          <w:bCs/>
        </w:rPr>
      </w:pPr>
      <w:r w:rsidRPr="000B09B6">
        <w:rPr>
          <w:b/>
          <w:bCs/>
        </w:rPr>
        <w:t>Найти кадастрового инженера можно с помощью специальной электронной платформы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Рассказываем, как заказать услуги кадастрового инженера с помощью электронной платформы кадастровых работ (ЭПКР): </w:t>
      </w:r>
      <w:hyperlink r:id="rId11" w:tooltip="https://epkr.rosreestr.ru/" w:history="1">
        <w:r w:rsidRPr="000B09B6">
          <w:rPr>
            <w:rStyle w:val="af1"/>
          </w:rPr>
          <w:t>https://epkr.rosreestr.ru/</w:t>
        </w:r>
      </w:hyperlink>
      <w:r w:rsidRPr="000B09B6">
        <w:t xml:space="preserve">. 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ЭПКР помогает физическим и юридическим лицам подать заявку на подготовку необходимых документов, изучить различные предложения от кадастровых инженеров, ознакомиться с отзывами, статистикой и стоимостью работ. Выбрав специалиста, заказчик может заключить с ним договор подряда на выполнение кадастровых работ. 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t xml:space="preserve">Заключить договор можно с наделением кадастрового инженера </w:t>
      </w:r>
      <w:hyperlink r:id="rId12" w:tooltip="https://www.consultant.ru/document/cons_doc_LAW_70088/2e85fd262f430f4a82058e9df941652fc1cd0a71/" w:history="1">
        <w:r w:rsidRPr="000B09B6">
          <w:rPr>
            <w:rStyle w:val="af1"/>
          </w:rPr>
          <w:t>правом</w:t>
        </w:r>
      </w:hyperlink>
      <w:r w:rsidRPr="000B09B6">
        <w:t xml:space="preserve"> обращаться в Росреестр для осуществления учетно-регистрационных действий. Специалист будет сопровождать собственника на всех этапах, и фактом качественного выполнения услуги будет являться внесение сведений в Единый государственный реестр недвижимости (ЕГРН), а не передача заказчику подготовленных документов. </w:t>
      </w:r>
    </w:p>
    <w:p w:rsidR="000B09B6" w:rsidRPr="000B09B6" w:rsidRDefault="000B09B6" w:rsidP="000B09B6">
      <w:pPr>
        <w:tabs>
          <w:tab w:val="left" w:pos="1105"/>
        </w:tabs>
        <w:ind w:firstLine="1106"/>
        <w:jc w:val="both"/>
      </w:pPr>
      <w:r w:rsidRPr="000B09B6">
        <w:lastRenderedPageBreak/>
        <w:t>Чтобы воспользоваться возможностями ЭПКР, достаточно иметь учетную запись на портале Госуслуг. Подписать договор заявитель может с помощью электронной подписи или в приложении «Госключ».</w:t>
      </w:r>
    </w:p>
    <w:p w:rsidR="000B09B6" w:rsidRPr="000B09B6" w:rsidRDefault="000B09B6" w:rsidP="000B09B6">
      <w:pPr>
        <w:jc w:val="center"/>
        <w:rPr>
          <w:b/>
          <w:bCs/>
        </w:rPr>
      </w:pPr>
      <w:r w:rsidRPr="000B09B6">
        <w:rPr>
          <w:rFonts w:eastAsia="Tinos"/>
          <w:b/>
        </w:rPr>
        <w:t>Почему новому собственнику важно знать сведения о недвижимости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rFonts w:eastAsia="Tinos"/>
          <w:color w:val="000000"/>
        </w:rPr>
        <w:t>Управление Росреестра по Новосибирской области рекомендует                перед оформлением сделки с недвижимостью заказывать выписку из Единого государственного реестра недвижимости (ЕГРН) об интересующем вас объекте.</w:t>
      </w:r>
      <w:r w:rsidRPr="000B09B6">
        <w:rPr>
          <w:rFonts w:eastAsia="Tinos"/>
          <w:color w:val="000000"/>
          <w:shd w:val="clear" w:color="auto" w:fill="FFFFFF"/>
        </w:rPr>
        <w:t xml:space="preserve">       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t>Выписка из ЕГРН содержит актуальную (на дату выдачи) информацию обо всех значимых характеристиках объекта — правообладателях (без указания персональных данных), обременениях, ограничениях, влияющих на юридическую чистоту сделки.</w:t>
      </w:r>
    </w:p>
    <w:p w:rsidR="000B09B6" w:rsidRPr="000B09B6" w:rsidRDefault="000B09B6" w:rsidP="000B09B6">
      <w:pPr>
        <w:ind w:firstLine="709"/>
        <w:jc w:val="both"/>
        <w:rPr>
          <w:rFonts w:eastAsia="Tinos"/>
          <w:color w:val="000000"/>
        </w:rPr>
      </w:pPr>
      <w:r w:rsidRPr="000B09B6">
        <w:rPr>
          <w:rFonts w:eastAsia="Tinos"/>
          <w:color w:val="000000"/>
        </w:rPr>
        <w:t xml:space="preserve">Если вы планируете приобрести квартиру, выписка из ЕГРН позволит убедиться в том, что жилье не находится под арестом или в залоге. </w:t>
      </w:r>
    </w:p>
    <w:p w:rsidR="000B09B6" w:rsidRPr="000B09B6" w:rsidRDefault="000B09B6" w:rsidP="000B09B6">
      <w:pPr>
        <w:ind w:firstLine="709"/>
        <w:jc w:val="both"/>
        <w:rPr>
          <w:rFonts w:eastAsia="Tinos"/>
          <w:color w:val="000000"/>
        </w:rPr>
      </w:pPr>
      <w:r w:rsidRPr="000B09B6">
        <w:rPr>
          <w:rFonts w:eastAsia="Tinos"/>
          <w:color w:val="000000"/>
        </w:rPr>
        <w:t xml:space="preserve">Кроме того, вы можете узнать точные характеристики объекта недвижимости и земельного участка (площадь, кадастровую стоимость, точный адрес, наличие установленных границ) и сверить их с теми данными, которые указаны в объявлении о продаже. </w:t>
      </w:r>
    </w:p>
    <w:p w:rsidR="000B09B6" w:rsidRPr="000B09B6" w:rsidRDefault="000B09B6" w:rsidP="000B09B6">
      <w:pPr>
        <w:ind w:firstLine="709"/>
        <w:jc w:val="both"/>
      </w:pPr>
      <w:r w:rsidRPr="000B09B6">
        <w:t>Для получения выписки из ЕГРН можно воспользоваться одним        из следующих способов:</w:t>
      </w:r>
    </w:p>
    <w:p w:rsidR="000B09B6" w:rsidRPr="000B09B6" w:rsidRDefault="000B09B6" w:rsidP="000B09B6">
      <w:pPr>
        <w:ind w:firstLine="709"/>
        <w:jc w:val="both"/>
      </w:pPr>
      <w:r w:rsidRPr="000B09B6">
        <w:rPr>
          <w:rFonts w:eastAsia="Tinos"/>
        </w:rPr>
        <w:t xml:space="preserve"> 1. обратиться в любое ближайшее отделение многофункционального центра предоставления государственных и муниципальных услуг (МФЦ); </w:t>
      </w:r>
    </w:p>
    <w:p w:rsidR="000B09B6" w:rsidRPr="000B09B6" w:rsidRDefault="000B09B6" w:rsidP="000B09B6">
      <w:pPr>
        <w:ind w:firstLine="709"/>
        <w:jc w:val="both"/>
      </w:pPr>
      <w:r w:rsidRPr="000B09B6">
        <w:rPr>
          <w:rFonts w:eastAsia="Tinos"/>
        </w:rPr>
        <w:t>2. подать заявление через портал Госуслуг (https://www.gosuslugi.ru) с использованием электронной цифровой подписи (услуга доступна только для физических лиц);</w:t>
      </w:r>
    </w:p>
    <w:p w:rsidR="000B09B6" w:rsidRPr="000B09B6" w:rsidRDefault="000B09B6" w:rsidP="000B09B6">
      <w:pPr>
        <w:ind w:firstLine="709"/>
        <w:jc w:val="both"/>
        <w:rPr>
          <w:rFonts w:eastAsia="Tinos"/>
        </w:rPr>
      </w:pPr>
      <w:r w:rsidRPr="000B09B6">
        <w:rPr>
          <w:rFonts w:eastAsia="Tinos"/>
        </w:rPr>
        <w:t>3. воспользоваться электронными сервисами на официальном сайте Росреестра (https://rosreestr.gov.ru) с использованием электронной цифровой подписи (услуга доступна только для юридических лиц);</w:t>
      </w:r>
    </w:p>
    <w:p w:rsidR="000B09B6" w:rsidRPr="000B09B6" w:rsidRDefault="000B09B6" w:rsidP="000B09B6">
      <w:pPr>
        <w:tabs>
          <w:tab w:val="left" w:pos="1134"/>
        </w:tabs>
        <w:ind w:firstLine="709"/>
        <w:jc w:val="both"/>
      </w:pPr>
      <w:r w:rsidRPr="000B09B6">
        <w:rPr>
          <w:rFonts w:eastAsia="Tinos"/>
        </w:rPr>
        <w:t>4. воспользоваться сервисом «Мои документы» на портале пространственных данных «Национальная система пространственных данных» (https://nspd.gov.ru) – для пользователей, имеющих учетную запись на портале Госуслуг.</w:t>
      </w:r>
    </w:p>
    <w:p w:rsidR="000B09B6" w:rsidRPr="000B09B6" w:rsidRDefault="000B09B6" w:rsidP="000B09B6">
      <w:pPr>
        <w:ind w:firstLine="709"/>
        <w:jc w:val="both"/>
        <w:rPr>
          <w:rFonts w:eastAsia="Tinos"/>
          <w:color w:val="000000"/>
        </w:rPr>
      </w:pPr>
      <w:r w:rsidRPr="000B09B6">
        <w:t xml:space="preserve">Стоимость услуги фиксирована и зависит от типа заявителя (физическое или юридическое лицо) и формата документа (бумажный или электронный). Срок изготовления выписки из ЕГРН составляет </w:t>
      </w:r>
      <w:r w:rsidRPr="000B09B6">
        <w:rPr>
          <w:rFonts w:eastAsia="Tinos"/>
          <w:color w:val="000000"/>
        </w:rPr>
        <w:t xml:space="preserve">не более 3 рабочих дней, при обращении через МФЦ – 5 рабочих дней.       </w:t>
      </w:r>
    </w:p>
    <w:p w:rsidR="000B09B6" w:rsidRPr="000B09B6" w:rsidRDefault="000B09B6" w:rsidP="000B09B6">
      <w:pPr>
        <w:ind w:firstLine="709"/>
        <w:jc w:val="both"/>
      </w:pPr>
      <w:r w:rsidRPr="000B09B6">
        <w:rPr>
          <w:rFonts w:eastAsia="Tinos"/>
          <w:color w:val="000000"/>
        </w:rPr>
        <w:t xml:space="preserve">Если выписка из ЕГРН предоставлена правообладателем с указанием фамилии, имени, отчества собственника, убедиться в подлинности такой информации можно с помощью QR-кода, который содержится в выписке из ЕГРН. При его сканировании вы будете перенаправлены в соответствующий раздел официального сайта Росреестра и получите подтверждение или опровержение предоставленных сведений.  </w:t>
      </w:r>
    </w:p>
    <w:p w:rsidR="000B09B6" w:rsidRPr="000B09B6" w:rsidRDefault="000B09B6" w:rsidP="000B09B6">
      <w:pPr>
        <w:widowControl w:val="0"/>
        <w:tabs>
          <w:tab w:val="left" w:pos="709"/>
        </w:tabs>
        <w:jc w:val="both"/>
      </w:pPr>
      <w:r w:rsidRPr="000B09B6">
        <w:t>Предварительное получение актуальных данных из ЕГРН поможет защитить вас от приобретения «проблемной» недвижимости</w:t>
      </w:r>
      <w:r w:rsidRPr="000B09B6">
        <w:t>.</w:t>
      </w:r>
    </w:p>
    <w:p w:rsidR="000B09B6" w:rsidRPr="000B09B6" w:rsidRDefault="000B09B6" w:rsidP="000B09B6">
      <w:pPr>
        <w:jc w:val="center"/>
        <w:rPr>
          <w:rFonts w:eastAsia="Tinos"/>
          <w:b/>
        </w:rPr>
      </w:pPr>
      <w:r w:rsidRPr="000B09B6">
        <w:rPr>
          <w:rFonts w:eastAsia="Tinos"/>
          <w:b/>
        </w:rPr>
        <w:t xml:space="preserve">Услуги Росреестра в МФЦ </w:t>
      </w:r>
    </w:p>
    <w:p w:rsidR="000B09B6" w:rsidRPr="000B09B6" w:rsidRDefault="000B09B6" w:rsidP="000B09B6">
      <w:pPr>
        <w:jc w:val="center"/>
        <w:rPr>
          <w:b/>
          <w:bCs/>
        </w:rPr>
      </w:pPr>
      <w:r w:rsidRPr="000B09B6">
        <w:rPr>
          <w:rFonts w:eastAsia="Tinos"/>
          <w:b/>
        </w:rPr>
        <w:t>(ко Дню работника МФЦ 27.07.2025)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t xml:space="preserve">Новосибирцы могут зарегистрировать свою недвижимость                              в максимально короткие сроки и получить качественные результаты оказанных услуг благодаря успешной совместной работе Управления Росреестра по Новосибирской области и ГАУ НСО «МФЦ». 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t xml:space="preserve">Результаты регулярного анкетирования посетителей филиалов подтверждают высокий уровень качества предоставления услуг:                            99% респондентов ставят максимальную оценку компетентности специалистов ГАУ НСО «МФЦ» - 5 баллов. 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t>Помимо приема и выдачи документов о государственной регистрации прав, постановке на государственный кадастровый учет и предоставлении сведений, содержащихся в Едином государственном реестре недвижимости, в филиалах ГАУ НСО «МФЦ», при поддержке новосибирского Росреестра, реализован ряд проектов.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t>Самыми востребованными для заявителей стали: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lastRenderedPageBreak/>
        <w:t>- «Час Росреестра – в МФЦ», консультация по любым вопросам                       в сфере регистрации недвижимости;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t>- «Регистрация в МФЦ за час», оперативное предоставление услуг                  в отношении ранее возникших прав.</w:t>
      </w:r>
    </w:p>
    <w:p w:rsidR="000B09B6" w:rsidRPr="000B09B6" w:rsidRDefault="000B09B6" w:rsidP="000B09B6">
      <w:pPr>
        <w:ind w:firstLine="709"/>
        <w:jc w:val="both"/>
        <w:rPr>
          <w:rFonts w:eastAsia="Tinos"/>
          <w:b/>
          <w:bCs/>
          <w:color w:val="000000"/>
        </w:rPr>
      </w:pPr>
      <w:r w:rsidRPr="000B09B6">
        <w:rPr>
          <w:rFonts w:eastAsia="Tinos"/>
          <w:color w:val="000000"/>
          <w:highlight w:val="white"/>
        </w:rPr>
        <w:t xml:space="preserve"> «Благодаря многолетнему партнерству выработан высокий стандарт предоставления государственных услуг в сфере недвижимости. МФЦ                       и Управление разрабатывают и внедряют новые схемы взаимодействия, которые делают процесс получения услуг Росреестра доступным и удобным для граждан. Один из примеров — дополнительный способ оплаты госпошлины непосредственно в момент подачи документов по УИН, который позволяет заявителям безопасно и быстро, в режиме онлайн, произвести оплату за учетно-регистрационные действия»</w:t>
      </w:r>
      <w:r w:rsidRPr="000B09B6">
        <w:rPr>
          <w:rFonts w:eastAsia="Tinos"/>
          <w:color w:val="000000"/>
        </w:rPr>
        <w:t xml:space="preserve"> – </w:t>
      </w:r>
      <w:r w:rsidRPr="000B09B6">
        <w:rPr>
          <w:rFonts w:eastAsia="Tinos"/>
          <w:b/>
          <w:bCs/>
          <w:color w:val="000000"/>
        </w:rPr>
        <w:t>директор ГАУ НСО «МФЦ» Оксана Максимова.</w:t>
      </w:r>
    </w:p>
    <w:p w:rsidR="000B09B6" w:rsidRPr="000B09B6" w:rsidRDefault="000B09B6" w:rsidP="000B09B6">
      <w:pPr>
        <w:ind w:firstLine="709"/>
        <w:jc w:val="both"/>
        <w:rPr>
          <w:color w:val="000000"/>
        </w:rPr>
      </w:pPr>
      <w:r w:rsidRPr="000B09B6">
        <w:rPr>
          <w:color w:val="000000"/>
        </w:rPr>
        <w:t>Управление Росреестра по Новосибирской области поздравляет работников ГАУ НСО «МФЦ» с их профессиональным праздником                            и благодарит за качественную совместную работу, желает сотрудникам благополучия, здоровья и счастья, а организации – успехов и дальнейшего процветания.</w:t>
      </w:r>
    </w:p>
    <w:p w:rsidR="000B09B6" w:rsidRPr="000B09B6" w:rsidRDefault="000B09B6" w:rsidP="000B09B6">
      <w:pPr>
        <w:widowControl w:val="0"/>
        <w:tabs>
          <w:tab w:val="left" w:pos="709"/>
        </w:tabs>
        <w:jc w:val="both"/>
        <w:rPr>
          <w:rFonts w:eastAsia="Segoe UI"/>
          <w:color w:val="000000"/>
          <w:lang w:eastAsia="zh-CN" w:bidi="hi-IN"/>
        </w:rPr>
      </w:pPr>
    </w:p>
    <w:p w:rsidR="00AA7019" w:rsidRPr="000B09B6" w:rsidRDefault="00AA7019" w:rsidP="000B09B6">
      <w:pPr>
        <w:jc w:val="both"/>
      </w:pPr>
    </w:p>
    <w:p w:rsidR="00AA7019" w:rsidRPr="000B09B6" w:rsidRDefault="00AA7019" w:rsidP="000B09B6">
      <w:pPr>
        <w:jc w:val="both"/>
      </w:pPr>
    </w:p>
    <w:p w:rsidR="00AA7019" w:rsidRPr="000B09B6" w:rsidRDefault="00EA59BD" w:rsidP="000B09B6">
      <w:pPr>
        <w:jc w:val="right"/>
        <w:rPr>
          <w:rFonts w:eastAsia="Quattrocento Sans"/>
          <w:b/>
          <w:i/>
          <w:color w:val="000000"/>
        </w:rPr>
      </w:pPr>
      <w:r w:rsidRPr="000B09B6">
        <w:t xml:space="preserve">   </w:t>
      </w:r>
      <w:r w:rsidRPr="000B09B6">
        <w:rPr>
          <w:rFonts w:eastAsia="Quattrocento Sans"/>
          <w:b/>
          <w:i/>
          <w:color w:val="000000"/>
        </w:rPr>
        <w:t xml:space="preserve">материал подготовлен Управлением Росреестра </w:t>
      </w:r>
    </w:p>
    <w:p w:rsidR="00AA7019" w:rsidRPr="000B09B6" w:rsidRDefault="00EA59BD" w:rsidP="000B09B6">
      <w:pPr>
        <w:jc w:val="right"/>
        <w:rPr>
          <w:rFonts w:eastAsia="Quattrocento Sans"/>
          <w:b/>
          <w:i/>
          <w:color w:val="000000"/>
        </w:rPr>
      </w:pPr>
      <w:r w:rsidRPr="000B09B6">
        <w:rPr>
          <w:rFonts w:eastAsia="Quattrocento Sans"/>
          <w:b/>
          <w:i/>
          <w:color w:val="000000"/>
        </w:rPr>
        <w:t xml:space="preserve">по Новосибирской области </w:t>
      </w:r>
    </w:p>
    <w:p w:rsidR="00AA7019" w:rsidRPr="000B09B6" w:rsidRDefault="00AA7019" w:rsidP="000B09B6">
      <w:pPr>
        <w:jc w:val="right"/>
        <w:rPr>
          <w:rFonts w:eastAsia="Quattrocento Sans"/>
          <w:b/>
          <w:i/>
          <w:color w:val="000000"/>
        </w:rPr>
      </w:pPr>
    </w:p>
    <w:p w:rsidR="00AA7019" w:rsidRPr="000B09B6" w:rsidRDefault="000B09B6" w:rsidP="000B09B6">
      <w:pPr>
        <w:jc w:val="right"/>
        <w:rPr>
          <w:b/>
          <w:bCs/>
          <w:i/>
          <w:iCs/>
          <w:color w:val="0070C0"/>
        </w:rPr>
      </w:pPr>
      <w:r>
        <w:rPr>
          <w:noProof/>
        </w:rPr>
        <w:pict>
          <v:shape id="_x0000_s1026" o:sp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AA7019" w:rsidRPr="000B09B6" w:rsidRDefault="00EA59BD" w:rsidP="000B09B6">
      <w:pPr>
        <w:jc w:val="both"/>
        <w:rPr>
          <w:b/>
          <w:bCs/>
        </w:rPr>
      </w:pPr>
      <w:r w:rsidRPr="000B09B6">
        <w:rPr>
          <w:b/>
          <w:bCs/>
        </w:rPr>
        <w:t>Об Управлении Росреестра по Новосибирской области</w:t>
      </w:r>
    </w:p>
    <w:p w:rsidR="00AA7019" w:rsidRPr="000B09B6" w:rsidRDefault="00EA59BD" w:rsidP="000B09B6">
      <w:pPr>
        <w:jc w:val="both"/>
        <w:rPr>
          <w:b/>
          <w:bCs/>
        </w:rPr>
      </w:pPr>
      <w:r w:rsidRPr="000B09B6">
        <w:t>Управление Федеральной службы государственной регистрации, кадастра и картографии по Новосибирской области</w:t>
      </w:r>
      <w:r w:rsidRPr="000B09B6"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 w:rsidRPr="000B09B6"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Pr="000B09B6"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 w:rsidRPr="000B09B6">
        <w:t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</w:t>
      </w:r>
      <w:r w:rsidRPr="000B09B6">
        <w:t>ляется Светлана Евгеньевна Рягузова.</w:t>
      </w:r>
    </w:p>
    <w:p w:rsidR="00AA7019" w:rsidRPr="000B09B6" w:rsidRDefault="00AA7019" w:rsidP="000B09B6">
      <w:pPr>
        <w:tabs>
          <w:tab w:val="left" w:pos="1095"/>
        </w:tabs>
        <w:jc w:val="both"/>
        <w:rPr>
          <w:b/>
          <w:color w:val="000000"/>
        </w:rPr>
      </w:pPr>
    </w:p>
    <w:p w:rsidR="00AA7019" w:rsidRPr="000B09B6" w:rsidRDefault="00EA59BD" w:rsidP="000B09B6">
      <w:pPr>
        <w:tabs>
          <w:tab w:val="left" w:pos="1095"/>
        </w:tabs>
        <w:jc w:val="both"/>
        <w:rPr>
          <w:b/>
          <w:color w:val="000000"/>
        </w:rPr>
      </w:pPr>
      <w:r w:rsidRPr="000B09B6">
        <w:rPr>
          <w:b/>
          <w:color w:val="000000"/>
        </w:rPr>
        <w:t>Контакты для СМИ:</w:t>
      </w:r>
    </w:p>
    <w:p w:rsidR="00AA7019" w:rsidRPr="000B09B6" w:rsidRDefault="00EA59BD" w:rsidP="000B09B6">
      <w:pPr>
        <w:jc w:val="both"/>
      </w:pPr>
      <w:r w:rsidRPr="000B09B6">
        <w:t>Управление Росреестра по Новосибирской области</w:t>
      </w:r>
    </w:p>
    <w:p w:rsidR="00AA7019" w:rsidRPr="000B09B6" w:rsidRDefault="00EA59BD" w:rsidP="000B09B6">
      <w:pPr>
        <w:jc w:val="both"/>
      </w:pPr>
      <w:r w:rsidRPr="000B09B6">
        <w:t>630091, г. Новосибирск, ул. Державина, д. 28</w:t>
      </w:r>
    </w:p>
    <w:p w:rsidR="00AA7019" w:rsidRPr="000B09B6" w:rsidRDefault="00EA59BD" w:rsidP="000B09B6">
      <w:pPr>
        <w:jc w:val="both"/>
        <w:rPr>
          <w:color w:val="000000"/>
        </w:rPr>
      </w:pPr>
      <w:r w:rsidRPr="000B09B6">
        <w:rPr>
          <w:color w:val="000000"/>
        </w:rPr>
        <w:t xml:space="preserve">Электронная почта: </w:t>
      </w:r>
    </w:p>
    <w:p w:rsidR="00AA7019" w:rsidRPr="000B09B6" w:rsidRDefault="00EA59BD" w:rsidP="000B09B6">
      <w:pPr>
        <w:jc w:val="both"/>
        <w:rPr>
          <w:color w:val="000000"/>
        </w:rPr>
      </w:pPr>
      <w:hyperlink r:id="rId13" w:history="1">
        <w:r w:rsidRPr="000B09B6">
          <w:rPr>
            <w:rStyle w:val="af1"/>
            <w:lang w:val="en-US"/>
          </w:rPr>
          <w:t>oko</w:t>
        </w:r>
        <w:r w:rsidRPr="000B09B6">
          <w:rPr>
            <w:rStyle w:val="af1"/>
          </w:rPr>
          <w:t>@</w:t>
        </w:r>
        <w:r w:rsidRPr="000B09B6">
          <w:rPr>
            <w:rStyle w:val="af1"/>
            <w:lang w:val="en-US"/>
          </w:rPr>
          <w:t>r</w:t>
        </w:r>
        <w:r w:rsidRPr="000B09B6">
          <w:rPr>
            <w:rStyle w:val="af1"/>
          </w:rPr>
          <w:t>54</w:t>
        </w:r>
        <w:r w:rsidRPr="000B09B6">
          <w:rPr>
            <w:rStyle w:val="af1"/>
          </w:rPr>
          <w:t>.</w:t>
        </w:r>
        <w:r w:rsidRPr="000B09B6">
          <w:rPr>
            <w:rStyle w:val="af1"/>
            <w:lang w:val="en-US"/>
          </w:rPr>
          <w:t>rosreestr</w:t>
        </w:r>
        <w:r w:rsidRPr="000B09B6">
          <w:rPr>
            <w:rStyle w:val="af1"/>
          </w:rPr>
          <w:t>.</w:t>
        </w:r>
        <w:r w:rsidRPr="000B09B6">
          <w:rPr>
            <w:rStyle w:val="af1"/>
            <w:lang w:val="en-US"/>
          </w:rPr>
          <w:t>ru</w:t>
        </w:r>
      </w:hyperlink>
      <w:r w:rsidRPr="000B09B6">
        <w:rPr>
          <w:color w:val="000000"/>
        </w:rPr>
        <w:t xml:space="preserve"> </w:t>
      </w:r>
    </w:p>
    <w:p w:rsidR="00AA7019" w:rsidRPr="000B09B6" w:rsidRDefault="00EA59BD" w:rsidP="000B09B6">
      <w:pPr>
        <w:jc w:val="both"/>
        <w:rPr>
          <w:color w:val="000000"/>
        </w:rPr>
      </w:pPr>
      <w:r w:rsidRPr="000B09B6">
        <w:rPr>
          <w:color w:val="000000"/>
        </w:rPr>
        <w:t xml:space="preserve">Сайт: </w:t>
      </w:r>
      <w:hyperlink r:id="rId14" w:history="1">
        <w:r w:rsidRPr="000B09B6">
          <w:rPr>
            <w:color w:val="0000FF"/>
            <w:u w:val="single"/>
          </w:rPr>
          <w:t>Росреестр</w:t>
        </w:r>
      </w:hyperlink>
    </w:p>
    <w:p w:rsidR="00AA7019" w:rsidRPr="000B09B6" w:rsidRDefault="00EA59BD" w:rsidP="000B09B6">
      <w:pPr>
        <w:jc w:val="both"/>
      </w:pPr>
      <w:r w:rsidRPr="000B09B6">
        <w:rPr>
          <w:color w:val="000000"/>
        </w:rPr>
        <w:t xml:space="preserve">Соцсети: </w:t>
      </w:r>
      <w:hyperlink r:id="rId15" w:history="1">
        <w:r w:rsidRPr="000B09B6">
          <w:rPr>
            <w:color w:val="0000FF"/>
            <w:u w:val="single"/>
          </w:rPr>
          <w:t>ВКонтакте</w:t>
        </w:r>
      </w:hyperlink>
      <w:r w:rsidRPr="000B09B6">
        <w:rPr>
          <w:color w:val="000000"/>
        </w:rPr>
        <w:t xml:space="preserve">, </w:t>
      </w:r>
      <w:hyperlink r:id="rId16" w:history="1">
        <w:r w:rsidRPr="000B09B6">
          <w:rPr>
            <w:rStyle w:val="af1"/>
          </w:rPr>
          <w:t>Одноклассники</w:t>
        </w:r>
      </w:hyperlink>
      <w:r w:rsidRPr="000B09B6">
        <w:rPr>
          <w:rStyle w:val="af1"/>
        </w:rPr>
        <w:t xml:space="preserve">, </w:t>
      </w:r>
      <w:hyperlink r:id="rId17" w:history="1">
        <w:r w:rsidRPr="000B09B6">
          <w:rPr>
            <w:rStyle w:val="af1"/>
          </w:rPr>
          <w:t>Яндекс</w:t>
        </w:r>
        <w:r w:rsidRPr="000B09B6">
          <w:rPr>
            <w:rStyle w:val="af1"/>
          </w:rPr>
          <w:t>.</w:t>
        </w:r>
        <w:r w:rsidRPr="000B09B6">
          <w:rPr>
            <w:rStyle w:val="af1"/>
          </w:rPr>
          <w:t>Дзен</w:t>
        </w:r>
      </w:hyperlink>
      <w:r w:rsidRPr="000B09B6">
        <w:rPr>
          <w:rStyle w:val="af1"/>
        </w:rPr>
        <w:t xml:space="preserve">, </w:t>
      </w:r>
      <w:hyperlink r:id="rId18" w:history="1">
        <w:r w:rsidRPr="000B09B6">
          <w:rPr>
            <w:rStyle w:val="af1"/>
          </w:rPr>
          <w:t>Телеграм</w:t>
        </w:r>
      </w:hyperlink>
    </w:p>
    <w:p w:rsidR="00AA7019" w:rsidRPr="000B09B6" w:rsidRDefault="00AA7019" w:rsidP="000B09B6">
      <w:pPr>
        <w:jc w:val="both"/>
      </w:pPr>
    </w:p>
    <w:p w:rsidR="00AA7019" w:rsidRPr="000B09B6" w:rsidRDefault="00AA7019" w:rsidP="000B09B6">
      <w:pPr>
        <w:jc w:val="both"/>
      </w:pPr>
    </w:p>
    <w:p w:rsidR="00AA7019" w:rsidRPr="000B09B6" w:rsidRDefault="00AA7019" w:rsidP="000B09B6">
      <w:pPr>
        <w:jc w:val="both"/>
      </w:pPr>
    </w:p>
    <w:p w:rsidR="00AA7019" w:rsidRPr="000B09B6" w:rsidRDefault="00AA7019" w:rsidP="000B09B6">
      <w:pPr>
        <w:jc w:val="both"/>
      </w:pPr>
    </w:p>
    <w:p w:rsidR="00AA7019" w:rsidRPr="000B09B6" w:rsidRDefault="00AA7019" w:rsidP="000B09B6">
      <w:pPr>
        <w:jc w:val="both"/>
      </w:pPr>
      <w:bookmarkStart w:id="1" w:name="_GoBack"/>
      <w:bookmarkEnd w:id="1"/>
    </w:p>
    <w:p w:rsidR="00AA7019" w:rsidRPr="000B09B6" w:rsidRDefault="00AA7019" w:rsidP="000B09B6">
      <w:pPr>
        <w:jc w:val="both"/>
      </w:pPr>
    </w:p>
    <w:p w:rsidR="00AA7019" w:rsidRPr="000B09B6" w:rsidRDefault="00AA7019" w:rsidP="000B09B6">
      <w:pPr>
        <w:jc w:val="both"/>
      </w:pPr>
    </w:p>
    <w:sectPr w:rsidR="00AA7019" w:rsidRPr="000B09B6" w:rsidSect="000B09B6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9BD" w:rsidRDefault="00EA59BD">
      <w:r>
        <w:separator/>
      </w:r>
    </w:p>
  </w:endnote>
  <w:endnote w:type="continuationSeparator" w:id="0">
    <w:p w:rsidR="00EA59BD" w:rsidRDefault="00EA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Calibri"/>
    <w:charset w:val="00"/>
    <w:family w:val="auto"/>
    <w:pitch w:val="default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9BD" w:rsidRDefault="00EA59BD">
      <w:r>
        <w:separator/>
      </w:r>
    </w:p>
  </w:footnote>
  <w:footnote w:type="continuationSeparator" w:id="0">
    <w:p w:rsidR="00EA59BD" w:rsidRDefault="00EA5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3506D"/>
    <w:multiLevelType w:val="hybridMultilevel"/>
    <w:tmpl w:val="5F52268A"/>
    <w:lvl w:ilvl="0" w:tplc="C2220E8A">
      <w:start w:val="1"/>
      <w:numFmt w:val="decimal"/>
      <w:lvlText w:val="%1."/>
      <w:lvlJc w:val="left"/>
      <w:pPr>
        <w:ind w:left="6740" w:hanging="360"/>
      </w:pPr>
    </w:lvl>
    <w:lvl w:ilvl="1" w:tplc="04A6B866">
      <w:start w:val="1"/>
      <w:numFmt w:val="lowerLetter"/>
      <w:lvlText w:val="%2."/>
      <w:lvlJc w:val="left"/>
      <w:pPr>
        <w:ind w:left="1440" w:hanging="360"/>
      </w:pPr>
    </w:lvl>
    <w:lvl w:ilvl="2" w:tplc="A9BCFCC4">
      <w:start w:val="1"/>
      <w:numFmt w:val="lowerRoman"/>
      <w:lvlText w:val="%3."/>
      <w:lvlJc w:val="right"/>
      <w:pPr>
        <w:ind w:left="2160" w:hanging="180"/>
      </w:pPr>
    </w:lvl>
    <w:lvl w:ilvl="3" w:tplc="A62463F8">
      <w:start w:val="1"/>
      <w:numFmt w:val="decimal"/>
      <w:lvlText w:val="%4."/>
      <w:lvlJc w:val="left"/>
      <w:pPr>
        <w:ind w:left="2880" w:hanging="360"/>
      </w:pPr>
    </w:lvl>
    <w:lvl w:ilvl="4" w:tplc="87508FA2">
      <w:start w:val="1"/>
      <w:numFmt w:val="lowerLetter"/>
      <w:lvlText w:val="%5."/>
      <w:lvlJc w:val="left"/>
      <w:pPr>
        <w:ind w:left="3600" w:hanging="360"/>
      </w:pPr>
    </w:lvl>
    <w:lvl w:ilvl="5" w:tplc="BCAA455A">
      <w:start w:val="1"/>
      <w:numFmt w:val="lowerRoman"/>
      <w:lvlText w:val="%6."/>
      <w:lvlJc w:val="right"/>
      <w:pPr>
        <w:ind w:left="4320" w:hanging="180"/>
      </w:pPr>
    </w:lvl>
    <w:lvl w:ilvl="6" w:tplc="0024B386">
      <w:start w:val="1"/>
      <w:numFmt w:val="decimal"/>
      <w:lvlText w:val="%7."/>
      <w:lvlJc w:val="left"/>
      <w:pPr>
        <w:ind w:left="5040" w:hanging="360"/>
      </w:pPr>
    </w:lvl>
    <w:lvl w:ilvl="7" w:tplc="CCB4903E">
      <w:start w:val="1"/>
      <w:numFmt w:val="lowerLetter"/>
      <w:lvlText w:val="%8."/>
      <w:lvlJc w:val="left"/>
      <w:pPr>
        <w:ind w:left="5760" w:hanging="360"/>
      </w:pPr>
    </w:lvl>
    <w:lvl w:ilvl="8" w:tplc="2B78220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95578"/>
    <w:multiLevelType w:val="hybridMultilevel"/>
    <w:tmpl w:val="5D8E7EFC"/>
    <w:lvl w:ilvl="0" w:tplc="2AEE7348">
      <w:start w:val="1"/>
      <w:numFmt w:val="decimal"/>
      <w:lvlText w:val="%1)"/>
      <w:lvlJc w:val="left"/>
      <w:pPr>
        <w:ind w:left="720" w:hanging="360"/>
      </w:pPr>
    </w:lvl>
    <w:lvl w:ilvl="1" w:tplc="0E8E9F38">
      <w:start w:val="1"/>
      <w:numFmt w:val="lowerLetter"/>
      <w:lvlText w:val="%2."/>
      <w:lvlJc w:val="left"/>
      <w:pPr>
        <w:ind w:left="1440" w:hanging="360"/>
      </w:pPr>
    </w:lvl>
    <w:lvl w:ilvl="2" w:tplc="B7360DB8">
      <w:start w:val="1"/>
      <w:numFmt w:val="lowerRoman"/>
      <w:lvlText w:val="%3."/>
      <w:lvlJc w:val="right"/>
      <w:pPr>
        <w:ind w:left="2160" w:hanging="180"/>
      </w:pPr>
    </w:lvl>
    <w:lvl w:ilvl="3" w:tplc="9EAA90B0">
      <w:start w:val="1"/>
      <w:numFmt w:val="decimal"/>
      <w:lvlText w:val="%4."/>
      <w:lvlJc w:val="left"/>
      <w:pPr>
        <w:ind w:left="2880" w:hanging="360"/>
      </w:pPr>
    </w:lvl>
    <w:lvl w:ilvl="4" w:tplc="268E6D4C">
      <w:start w:val="1"/>
      <w:numFmt w:val="lowerLetter"/>
      <w:lvlText w:val="%5."/>
      <w:lvlJc w:val="left"/>
      <w:pPr>
        <w:ind w:left="3600" w:hanging="360"/>
      </w:pPr>
    </w:lvl>
    <w:lvl w:ilvl="5" w:tplc="86222CBC">
      <w:start w:val="1"/>
      <w:numFmt w:val="lowerRoman"/>
      <w:lvlText w:val="%6."/>
      <w:lvlJc w:val="right"/>
      <w:pPr>
        <w:ind w:left="4320" w:hanging="180"/>
      </w:pPr>
    </w:lvl>
    <w:lvl w:ilvl="6" w:tplc="8C54E642">
      <w:start w:val="1"/>
      <w:numFmt w:val="decimal"/>
      <w:lvlText w:val="%7."/>
      <w:lvlJc w:val="left"/>
      <w:pPr>
        <w:ind w:left="5040" w:hanging="360"/>
      </w:pPr>
    </w:lvl>
    <w:lvl w:ilvl="7" w:tplc="FC70E9B0">
      <w:start w:val="1"/>
      <w:numFmt w:val="lowerLetter"/>
      <w:lvlText w:val="%8."/>
      <w:lvlJc w:val="left"/>
      <w:pPr>
        <w:ind w:left="5760" w:hanging="360"/>
      </w:pPr>
    </w:lvl>
    <w:lvl w:ilvl="8" w:tplc="8274FF9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706ED"/>
    <w:multiLevelType w:val="hybridMultilevel"/>
    <w:tmpl w:val="BBFC4AC8"/>
    <w:lvl w:ilvl="0" w:tplc="307A2B92">
      <w:start w:val="1"/>
      <w:numFmt w:val="decimal"/>
      <w:lvlText w:val="%1)"/>
      <w:lvlJc w:val="left"/>
      <w:pPr>
        <w:ind w:left="907" w:hanging="360"/>
      </w:pPr>
    </w:lvl>
    <w:lvl w:ilvl="1" w:tplc="FEBACDF2">
      <w:start w:val="1"/>
      <w:numFmt w:val="lowerLetter"/>
      <w:lvlText w:val="%2."/>
      <w:lvlJc w:val="left"/>
      <w:pPr>
        <w:ind w:left="1627" w:hanging="360"/>
      </w:pPr>
    </w:lvl>
    <w:lvl w:ilvl="2" w:tplc="31E6AF9C">
      <w:start w:val="1"/>
      <w:numFmt w:val="lowerRoman"/>
      <w:lvlText w:val="%3."/>
      <w:lvlJc w:val="right"/>
      <w:pPr>
        <w:ind w:left="2347" w:hanging="180"/>
      </w:pPr>
    </w:lvl>
    <w:lvl w:ilvl="3" w:tplc="940AF0B8">
      <w:start w:val="1"/>
      <w:numFmt w:val="decimal"/>
      <w:lvlText w:val="%4."/>
      <w:lvlJc w:val="left"/>
      <w:pPr>
        <w:ind w:left="3067" w:hanging="360"/>
      </w:pPr>
    </w:lvl>
    <w:lvl w:ilvl="4" w:tplc="54D83FD6">
      <w:start w:val="1"/>
      <w:numFmt w:val="lowerLetter"/>
      <w:lvlText w:val="%5."/>
      <w:lvlJc w:val="left"/>
      <w:pPr>
        <w:ind w:left="3787" w:hanging="360"/>
      </w:pPr>
    </w:lvl>
    <w:lvl w:ilvl="5" w:tplc="6BD07DF2">
      <w:start w:val="1"/>
      <w:numFmt w:val="lowerRoman"/>
      <w:lvlText w:val="%6."/>
      <w:lvlJc w:val="right"/>
      <w:pPr>
        <w:ind w:left="4507" w:hanging="180"/>
      </w:pPr>
    </w:lvl>
    <w:lvl w:ilvl="6" w:tplc="2E5E2594">
      <w:start w:val="1"/>
      <w:numFmt w:val="decimal"/>
      <w:lvlText w:val="%7."/>
      <w:lvlJc w:val="left"/>
      <w:pPr>
        <w:ind w:left="5227" w:hanging="360"/>
      </w:pPr>
    </w:lvl>
    <w:lvl w:ilvl="7" w:tplc="F8C8D4FC">
      <w:start w:val="1"/>
      <w:numFmt w:val="lowerLetter"/>
      <w:lvlText w:val="%8."/>
      <w:lvlJc w:val="left"/>
      <w:pPr>
        <w:ind w:left="5947" w:hanging="360"/>
      </w:pPr>
    </w:lvl>
    <w:lvl w:ilvl="8" w:tplc="7B4C8574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4C4F4625"/>
    <w:multiLevelType w:val="hybridMultilevel"/>
    <w:tmpl w:val="9EDC0862"/>
    <w:lvl w:ilvl="0" w:tplc="F81E27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A167B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E065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CC2B1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A6CD3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0C82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FAD1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3445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045B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567B61F9"/>
    <w:multiLevelType w:val="hybridMultilevel"/>
    <w:tmpl w:val="BBAE9496"/>
    <w:lvl w:ilvl="0" w:tplc="A64E8236">
      <w:start w:val="1"/>
      <w:numFmt w:val="decimal"/>
      <w:lvlText w:val="%1."/>
      <w:lvlJc w:val="left"/>
      <w:pPr>
        <w:ind w:left="720" w:hanging="360"/>
      </w:pPr>
    </w:lvl>
    <w:lvl w:ilvl="1" w:tplc="E6141FF2">
      <w:start w:val="1"/>
      <w:numFmt w:val="lowerLetter"/>
      <w:lvlText w:val="%2."/>
      <w:lvlJc w:val="left"/>
      <w:pPr>
        <w:ind w:left="1440" w:hanging="360"/>
      </w:pPr>
    </w:lvl>
    <w:lvl w:ilvl="2" w:tplc="E9CCD1CC">
      <w:start w:val="1"/>
      <w:numFmt w:val="lowerRoman"/>
      <w:lvlText w:val="%3."/>
      <w:lvlJc w:val="right"/>
      <w:pPr>
        <w:ind w:left="2160" w:hanging="180"/>
      </w:pPr>
    </w:lvl>
    <w:lvl w:ilvl="3" w:tplc="10E2F64C">
      <w:start w:val="1"/>
      <w:numFmt w:val="decimal"/>
      <w:lvlText w:val="%4."/>
      <w:lvlJc w:val="left"/>
      <w:pPr>
        <w:ind w:left="2880" w:hanging="360"/>
      </w:pPr>
    </w:lvl>
    <w:lvl w:ilvl="4" w:tplc="61542CA8">
      <w:start w:val="1"/>
      <w:numFmt w:val="lowerLetter"/>
      <w:lvlText w:val="%5."/>
      <w:lvlJc w:val="left"/>
      <w:pPr>
        <w:ind w:left="3600" w:hanging="360"/>
      </w:pPr>
    </w:lvl>
    <w:lvl w:ilvl="5" w:tplc="9FE488F6">
      <w:start w:val="1"/>
      <w:numFmt w:val="lowerRoman"/>
      <w:lvlText w:val="%6."/>
      <w:lvlJc w:val="right"/>
      <w:pPr>
        <w:ind w:left="4320" w:hanging="180"/>
      </w:pPr>
    </w:lvl>
    <w:lvl w:ilvl="6" w:tplc="E9ECB040">
      <w:start w:val="1"/>
      <w:numFmt w:val="decimal"/>
      <w:lvlText w:val="%7."/>
      <w:lvlJc w:val="left"/>
      <w:pPr>
        <w:ind w:left="5040" w:hanging="360"/>
      </w:pPr>
    </w:lvl>
    <w:lvl w:ilvl="7" w:tplc="2B085920">
      <w:start w:val="1"/>
      <w:numFmt w:val="lowerLetter"/>
      <w:lvlText w:val="%8."/>
      <w:lvlJc w:val="left"/>
      <w:pPr>
        <w:ind w:left="5760" w:hanging="360"/>
      </w:pPr>
    </w:lvl>
    <w:lvl w:ilvl="8" w:tplc="9350EFB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85432"/>
    <w:multiLevelType w:val="hybridMultilevel"/>
    <w:tmpl w:val="AD029BEE"/>
    <w:lvl w:ilvl="0" w:tplc="AA307B10">
      <w:start w:val="1"/>
      <w:numFmt w:val="decimal"/>
      <w:lvlText w:val="%1)"/>
      <w:lvlJc w:val="left"/>
      <w:pPr>
        <w:ind w:left="907" w:hanging="360"/>
      </w:pPr>
    </w:lvl>
    <w:lvl w:ilvl="1" w:tplc="A58A4D24">
      <w:start w:val="1"/>
      <w:numFmt w:val="lowerLetter"/>
      <w:lvlText w:val="%2."/>
      <w:lvlJc w:val="left"/>
      <w:pPr>
        <w:ind w:left="1627" w:hanging="360"/>
      </w:pPr>
    </w:lvl>
    <w:lvl w:ilvl="2" w:tplc="CD500C2C">
      <w:start w:val="1"/>
      <w:numFmt w:val="lowerRoman"/>
      <w:lvlText w:val="%3."/>
      <w:lvlJc w:val="right"/>
      <w:pPr>
        <w:ind w:left="2347" w:hanging="180"/>
      </w:pPr>
    </w:lvl>
    <w:lvl w:ilvl="3" w:tplc="46CEA640">
      <w:start w:val="1"/>
      <w:numFmt w:val="decimal"/>
      <w:lvlText w:val="%4."/>
      <w:lvlJc w:val="left"/>
      <w:pPr>
        <w:ind w:left="3067" w:hanging="360"/>
      </w:pPr>
    </w:lvl>
    <w:lvl w:ilvl="4" w:tplc="630E6C9E">
      <w:start w:val="1"/>
      <w:numFmt w:val="lowerLetter"/>
      <w:lvlText w:val="%5."/>
      <w:lvlJc w:val="left"/>
      <w:pPr>
        <w:ind w:left="3787" w:hanging="360"/>
      </w:pPr>
    </w:lvl>
    <w:lvl w:ilvl="5" w:tplc="7AA80CB0">
      <w:start w:val="1"/>
      <w:numFmt w:val="lowerRoman"/>
      <w:lvlText w:val="%6."/>
      <w:lvlJc w:val="right"/>
      <w:pPr>
        <w:ind w:left="4507" w:hanging="180"/>
      </w:pPr>
    </w:lvl>
    <w:lvl w:ilvl="6" w:tplc="FA1489F8">
      <w:start w:val="1"/>
      <w:numFmt w:val="decimal"/>
      <w:lvlText w:val="%7."/>
      <w:lvlJc w:val="left"/>
      <w:pPr>
        <w:ind w:left="5227" w:hanging="360"/>
      </w:pPr>
    </w:lvl>
    <w:lvl w:ilvl="7" w:tplc="5EC8A972">
      <w:start w:val="1"/>
      <w:numFmt w:val="lowerLetter"/>
      <w:lvlText w:val="%8."/>
      <w:lvlJc w:val="left"/>
      <w:pPr>
        <w:ind w:left="5947" w:hanging="360"/>
      </w:pPr>
    </w:lvl>
    <w:lvl w:ilvl="8" w:tplc="08749126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6A576116"/>
    <w:multiLevelType w:val="hybridMultilevel"/>
    <w:tmpl w:val="874A91C2"/>
    <w:lvl w:ilvl="0" w:tplc="26608F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D60FD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C5661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C1902E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CA4AF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3C84C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7664FF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AAC2D5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5CAA6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6E185336"/>
    <w:multiLevelType w:val="hybridMultilevel"/>
    <w:tmpl w:val="015C8E42"/>
    <w:lvl w:ilvl="0" w:tplc="FB28F2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82666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DBEEC0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E2D5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654C1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58CD5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D272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5E8B1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AD3A3E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7019"/>
    <w:rsid w:val="000B09B6"/>
    <w:rsid w:val="00AA7019"/>
    <w:rsid w:val="00EA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6FFE15"/>
  <w15:docId w15:val="{C39E4D1E-FA3A-44AD-9AF0-D9AAE7A2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pPr>
      <w:spacing w:before="2400"/>
      <w:ind w:left="6481"/>
    </w:pPr>
    <w:rPr>
      <w:sz w:val="28"/>
      <w:szCs w:val="20"/>
    </w:rPr>
  </w:style>
  <w:style w:type="paragraph" w:styleId="afc">
    <w:name w:val="Body Text"/>
    <w:basedOn w:val="a"/>
    <w:pPr>
      <w:spacing w:after="120"/>
    </w:pPr>
  </w:style>
  <w:style w:type="paragraph" w:styleId="afd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visited">
    <w:name w:val="visited"/>
    <w:basedOn w:val="a0"/>
  </w:style>
  <w:style w:type="character" w:customStyle="1" w:styleId="blk">
    <w:name w:val="blk"/>
    <w:basedOn w:val="a0"/>
  </w:style>
  <w:style w:type="character" w:customStyle="1" w:styleId="match">
    <w:name w:val="match"/>
    <w:basedOn w:val="a0"/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Pr>
      <w:sz w:val="26"/>
      <w:szCs w:val="26"/>
    </w:rPr>
  </w:style>
  <w:style w:type="paragraph" w:customStyle="1" w:styleId="afe">
    <w:name w:val="Знак Знак Знак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Pr>
      <w:sz w:val="26"/>
      <w:szCs w:val="26"/>
      <w:lang w:val="ru-RU" w:eastAsia="ru-RU" w:bidi="ar-SA"/>
    </w:rPr>
  </w:style>
  <w:style w:type="paragraph" w:customStyle="1" w:styleId="aff">
    <w:name w:val="Название"/>
    <w:basedOn w:val="a"/>
    <w:link w:val="aff0"/>
    <w:qFormat/>
    <w:pPr>
      <w:ind w:firstLine="709"/>
      <w:jc w:val="center"/>
    </w:pPr>
    <w:rPr>
      <w:b/>
      <w:szCs w:val="20"/>
    </w:rPr>
  </w:style>
  <w:style w:type="character" w:customStyle="1" w:styleId="aff0">
    <w:name w:val="Название Знак"/>
    <w:link w:val="aff"/>
    <w:rPr>
      <w:b/>
      <w:sz w:val="24"/>
      <w:lang w:val="ru-RU" w:eastAsia="ru-RU" w:bidi="ar-SA"/>
    </w:rPr>
  </w:style>
  <w:style w:type="character" w:styleId="aff1">
    <w:name w:val="Strong"/>
    <w:uiPriority w:val="22"/>
    <w:qFormat/>
    <w:rPr>
      <w:b/>
      <w:bCs/>
    </w:rPr>
  </w:style>
  <w:style w:type="character" w:styleId="aff2">
    <w:name w:val="Emphasis"/>
    <w:uiPriority w:val="20"/>
    <w:qFormat/>
    <w:rPr>
      <w:i/>
      <w:iCs/>
    </w:rPr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82661/e064cc95b1bdffa4d12abb92fdfc56dea94198df/" TargetMode="External"/><Relationship Id="rId13" Type="http://schemas.openxmlformats.org/officeDocument/2006/relationships/hyperlink" Target="mailto:oko@r54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consultant.ru/document/cons_doc_LAW_70088/2e85fd262f430f4a82058e9df941652fc1cd0a71/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pkr.rosreest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rosreestr.gov.ru/wps/portal/p/cc_ib_portal_services/cc_ib_sro_reestrs/!ut/p/z1/04_Sj9CPykssy0xPLMnMz0vMAfIjo8ziDQw9HA0dTYy8_U09XQwCTUzN_Py8fI0NDAz0w8EK3ANNXA2dTQy93QMNzQ0cPR29DY0N3Q0M_A31o4jRj0cBWD8O4AjSHwVWgssFzkYEFICcSMiSgtzQCINMT0UAZsE4jA!!/p0/IZ7_01HA1A42KO5ID0Q456NNJM30G4=CZ6_01HA1A42KO5ID0Q456NNJM3000=LA0=Espf_ActionName!spf_ActionListener=spf_strutsAction!QCB2freestr.do==/?reestr=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383887/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2206</Words>
  <Characters>12578</Characters>
  <Application>Microsoft Office Word</Application>
  <DocSecurity>0</DocSecurity>
  <Lines>104</Lines>
  <Paragraphs>29</Paragraphs>
  <ScaleCrop>false</ScaleCrop>
  <Company/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User</cp:lastModifiedBy>
  <cp:revision>304</cp:revision>
  <dcterms:created xsi:type="dcterms:W3CDTF">2009-04-08T02:19:00Z</dcterms:created>
  <dcterms:modified xsi:type="dcterms:W3CDTF">2025-07-29T08:07:00Z</dcterms:modified>
  <cp:version>917504</cp:version>
</cp:coreProperties>
</file>